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939E7">
      <w:pPr>
        <w:pStyle w:val="2"/>
        <w:bidi w:val="0"/>
        <w:rPr>
          <w:rFonts w:hint="eastAsia"/>
          <w:lang w:val="en-US" w:eastAsia="zh-CN"/>
        </w:rPr>
      </w:pPr>
      <w:r>
        <w:rPr>
          <w:rFonts w:hint="eastAsia"/>
          <w:lang w:val="en-US" w:eastAsia="zh-CN"/>
        </w:rPr>
        <w:t xml:space="preserve">Global </w:t>
      </w:r>
      <w:r>
        <w:rPr>
          <w:rFonts w:hint="default"/>
        </w:rPr>
        <w:t>Call for Expert Reviewers</w:t>
      </w:r>
      <w:r>
        <w:rPr>
          <w:rFonts w:hint="eastAsia"/>
          <w:lang w:val="en-US" w:eastAsia="zh-CN"/>
        </w:rPr>
        <w:t xml:space="preserve"> </w:t>
      </w:r>
    </w:p>
    <w:p w14:paraId="040F31E2">
      <w:pPr>
        <w:pStyle w:val="2"/>
        <w:bidi w:val="0"/>
        <w:rPr>
          <w:rFonts w:hint="default"/>
        </w:rPr>
      </w:pPr>
      <w:r>
        <w:rPr>
          <w:rFonts w:hint="default"/>
        </w:rPr>
        <w:t>IHIPC</w:t>
      </w:r>
      <w:r>
        <w:rPr>
          <w:rFonts w:hint="eastAsia"/>
          <w:lang w:val="en-US" w:eastAsia="zh-CN"/>
        </w:rPr>
        <w:t xml:space="preserve"> 2026</w:t>
      </w:r>
      <w:r>
        <w:rPr>
          <w:rFonts w:hint="default"/>
        </w:rPr>
        <w:t xml:space="preserve"> </w:t>
      </w:r>
      <w:r>
        <w:rPr>
          <w:rFonts w:hint="eastAsia"/>
          <w:lang w:val="en-US" w:eastAsia="zh-CN"/>
        </w:rPr>
        <w:t xml:space="preserve">Jury Panel </w:t>
      </w:r>
      <w:r>
        <w:rPr>
          <w:rFonts w:hint="default"/>
        </w:rPr>
        <w:t>Global Recruitment Notice</w:t>
      </w:r>
    </w:p>
    <w:p w14:paraId="1274EDF8">
      <w:pPr>
        <w:bidi w:val="0"/>
        <w:rPr>
          <w:rFonts w:hint="default"/>
        </w:rPr>
      </w:pPr>
      <w:r>
        <w:rPr>
          <w:rFonts w:hint="default"/>
        </w:rPr>
        <w:t xml:space="preserve">To ensure the authority, impartiality, and professionalism of the review process for the 2026 International Hydrogen </w:t>
      </w:r>
      <w:r>
        <w:rPr>
          <w:rFonts w:hint="eastAsia" w:eastAsia="宋体"/>
          <w:lang w:val="en-US" w:eastAsia="zh-CN"/>
        </w:rPr>
        <w:t xml:space="preserve">Energy </w:t>
      </w:r>
      <w:r>
        <w:rPr>
          <w:rFonts w:hint="default"/>
        </w:rPr>
        <w:t>Innovation Pioneer Competition (IHIPC</w:t>
      </w:r>
      <w:r>
        <w:rPr>
          <w:rFonts w:hint="eastAsia" w:eastAsia="宋体"/>
          <w:lang w:val="en-US" w:eastAsia="zh-CN"/>
        </w:rPr>
        <w:t xml:space="preserve"> 2026</w:t>
      </w:r>
      <w:r>
        <w:rPr>
          <w:rFonts w:hint="default"/>
        </w:rPr>
        <w:t xml:space="preserve">), and to establish a high-calibre international panel of expert reviewers, we hereby issue a global open call for Review Committee members. This call is led by the </w:t>
      </w:r>
      <w:r>
        <w:rPr>
          <w:rFonts w:hint="eastAsia" w:eastAsia="宋体"/>
          <w:lang w:val="en-US" w:eastAsia="zh-CN"/>
        </w:rPr>
        <w:t>event host</w:t>
      </w:r>
      <w:r>
        <w:rPr>
          <w:rFonts w:hint="default"/>
        </w:rPr>
        <w:t>, the International Hydrogen Energy Centre (IHEC), with guidance and support from the United Nations Industrial Development Organization (UNIDO) and the Beijing Tsinghua Industrial R&amp;D Institute (BTIRDI). We sincerely invite top-tier professionals in hydrogen energy and related fields to join us in advancing global hydrogen innovation and industrial deployment.</w:t>
      </w:r>
    </w:p>
    <w:p w14:paraId="092253CE">
      <w:pPr>
        <w:pStyle w:val="10"/>
        <w:keepNext w:val="0"/>
        <w:keepLines w:val="0"/>
        <w:widowControl/>
        <w:suppressLineNumbers w:val="0"/>
        <w:spacing w:line="18" w:lineRule="atLeast"/>
        <w:rPr>
          <w:rFonts w:hint="default" w:ascii="Arial" w:hAnsi="Arial" w:cs="Arial"/>
          <w:b/>
          <w:bCs w:val="0"/>
          <w:sz w:val="24"/>
          <w:szCs w:val="24"/>
        </w:rPr>
      </w:pPr>
      <w:r>
        <w:rPr>
          <w:rStyle w:val="14"/>
          <w:rFonts w:hint="default" w:ascii="Arial" w:hAnsi="Arial" w:cs="Arial"/>
          <w:b/>
          <w:bCs w:val="0"/>
          <w:color w:val="1A1A1A"/>
          <w:sz w:val="24"/>
          <w:szCs w:val="24"/>
        </w:rPr>
        <w:t xml:space="preserve">Partial List of Distinguished </w:t>
      </w:r>
      <w:r>
        <w:rPr>
          <w:rStyle w:val="14"/>
          <w:rFonts w:hint="eastAsia" w:cs="Arial"/>
          <w:b/>
          <w:bCs w:val="0"/>
          <w:color w:val="1A1A1A"/>
          <w:sz w:val="24"/>
          <w:szCs w:val="24"/>
          <w:lang w:val="en-US"/>
        </w:rPr>
        <w:t>Jury Panel</w:t>
      </w:r>
      <w:r>
        <w:rPr>
          <w:rStyle w:val="14"/>
          <w:rFonts w:hint="default" w:ascii="Arial" w:hAnsi="Arial" w:cs="Arial"/>
          <w:b/>
          <w:bCs w:val="0"/>
          <w:color w:val="1A1A1A"/>
          <w:sz w:val="24"/>
          <w:szCs w:val="24"/>
        </w:rPr>
        <w:t xml:space="preserve"> Members:</w:t>
      </w:r>
    </w:p>
    <w:tbl>
      <w:tblPr>
        <w:tblStyle w:val="11"/>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789"/>
        <w:gridCol w:w="6733"/>
      </w:tblGrid>
      <w:tr w14:paraId="2F2C1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789"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2CA6C6BD">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b/>
                <w:bCs/>
                <w:color w:val="1A1A1A"/>
                <w:sz w:val="24"/>
                <w:szCs w:val="24"/>
                <w:lang w:val="en-US" w:eastAsia="zh-CN"/>
              </w:rPr>
            </w:pPr>
            <w:r>
              <w:rPr>
                <w:rFonts w:hint="default" w:ascii="Arial" w:hAnsi="Arial" w:eastAsia="宋体" w:cs="Arial"/>
                <w:b/>
                <w:bCs/>
                <w:color w:val="1A1A1A"/>
                <w:sz w:val="24"/>
                <w:szCs w:val="24"/>
                <w:lang w:val="en-US" w:eastAsia="zh-CN"/>
              </w:rPr>
              <w:t>Name</w:t>
            </w:r>
          </w:p>
        </w:tc>
        <w:tc>
          <w:tcPr>
            <w:tcW w:w="6733"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1D3D34DA">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b/>
                <w:bCs/>
                <w:color w:val="1A1A1A"/>
                <w:sz w:val="24"/>
                <w:szCs w:val="24"/>
                <w:lang w:val="en-US" w:eastAsia="zh-CN"/>
              </w:rPr>
            </w:pPr>
            <w:r>
              <w:rPr>
                <w:rFonts w:hint="default" w:ascii="Arial" w:hAnsi="Arial" w:eastAsia="宋体" w:cs="Arial"/>
                <w:b/>
                <w:bCs/>
                <w:color w:val="1A1A1A"/>
                <w:sz w:val="24"/>
                <w:szCs w:val="24"/>
                <w:lang w:val="en-US" w:eastAsia="zh-CN"/>
              </w:rPr>
              <w:t>Title</w:t>
            </w:r>
          </w:p>
        </w:tc>
      </w:tr>
      <w:tr w14:paraId="44FD6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789"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44285BC2">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PENG Suping</w:t>
            </w:r>
          </w:p>
        </w:tc>
        <w:tc>
          <w:tcPr>
            <w:tcW w:w="6733"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3A91DCB2">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Academician, Chinese Academy of Engineering</w:t>
            </w:r>
          </w:p>
        </w:tc>
      </w:tr>
      <w:tr w14:paraId="410E2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789"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078C585A">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ZHANG Jiujun</w:t>
            </w:r>
          </w:p>
        </w:tc>
        <w:tc>
          <w:tcPr>
            <w:tcW w:w="6733"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3D768486">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Foreign Academician, Chinese Academy of Engineering; Fellow, Canadian Academy of Engineering; Fellow, Royal Society of Canada</w:t>
            </w:r>
          </w:p>
        </w:tc>
      </w:tr>
      <w:tr w14:paraId="34086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789"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50B7A313">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XING Wei</w:t>
            </w:r>
          </w:p>
        </w:tc>
        <w:tc>
          <w:tcPr>
            <w:tcW w:w="6733"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1A7E7656">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Researcher and Doctoral Supervisor, Changchun Institute of Applied Chemistry, Chinese Academy of Sciences</w:t>
            </w:r>
          </w:p>
        </w:tc>
      </w:tr>
      <w:tr w14:paraId="5C6F1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789"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2243A746">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kern w:val="0"/>
                <w:sz w:val="24"/>
                <w:szCs w:val="24"/>
                <w:shd w:val="clear" w:fill="FFFFFF"/>
                <w:lang w:val="en-US" w:eastAsia="zh-CN" w:bidi="ar"/>
              </w:rPr>
            </w:pPr>
            <w:r>
              <w:rPr>
                <w:rFonts w:hint="default" w:ascii="Arial" w:hAnsi="Arial" w:eastAsia="宋体" w:cs="Arial"/>
                <w:color w:val="1A1A1A"/>
                <w:sz w:val="24"/>
                <w:szCs w:val="24"/>
              </w:rPr>
              <w:t>CHAI Maorong</w:t>
            </w:r>
          </w:p>
        </w:tc>
        <w:tc>
          <w:tcPr>
            <w:tcW w:w="6733"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349EE25E">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kern w:val="0"/>
                <w:sz w:val="24"/>
                <w:szCs w:val="24"/>
                <w:shd w:val="clear" w:fill="FFFFFF"/>
                <w:lang w:val="en-US" w:eastAsia="zh-CN" w:bidi="ar"/>
              </w:rPr>
            </w:pPr>
            <w:r>
              <w:rPr>
                <w:rFonts w:hint="default" w:ascii="Arial" w:hAnsi="Arial" w:eastAsia="宋体" w:cs="Arial"/>
                <w:color w:val="1A1A1A"/>
                <w:sz w:val="24"/>
                <w:szCs w:val="24"/>
              </w:rPr>
              <w:t>Chief Scientist, State Power Investment Corporation (SPIC)</w:t>
            </w:r>
          </w:p>
        </w:tc>
      </w:tr>
      <w:tr w14:paraId="2E009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789"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7A43D673">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LEI Xianzhang</w:t>
            </w:r>
          </w:p>
        </w:tc>
        <w:tc>
          <w:tcPr>
            <w:tcW w:w="6733"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624D3A33">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Member, German National Academy of Science and Engineering (acatech)</w:t>
            </w:r>
          </w:p>
        </w:tc>
      </w:tr>
      <w:tr w14:paraId="57352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789"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1EE0CBAB">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LIU Ke</w:t>
            </w:r>
          </w:p>
        </w:tc>
        <w:tc>
          <w:tcPr>
            <w:tcW w:w="6733"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644877B7">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Foreign Fellow, Australian Academy of Engineering</w:t>
            </w:r>
          </w:p>
        </w:tc>
      </w:tr>
      <w:tr w14:paraId="6AE52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789"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167767C3">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Petra Schwager</w:t>
            </w:r>
          </w:p>
        </w:tc>
        <w:tc>
          <w:tcPr>
            <w:tcW w:w="6733"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23BBED81">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eastAsia" w:eastAsia="宋体" w:cs="Arial"/>
                <w:color w:val="1A1A1A"/>
                <w:sz w:val="24"/>
                <w:szCs w:val="24"/>
                <w:lang w:val="en-US" w:eastAsia="zh-CN"/>
              </w:rPr>
              <w:t>Chief</w:t>
            </w:r>
            <w:r>
              <w:rPr>
                <w:rFonts w:hint="default" w:ascii="Arial" w:hAnsi="Arial" w:eastAsia="宋体" w:cs="Arial"/>
                <w:color w:val="1A1A1A"/>
                <w:sz w:val="24"/>
                <w:szCs w:val="24"/>
              </w:rPr>
              <w:t>, UNIDO Division of Climate and Technology Partnerships (CTP)</w:t>
            </w:r>
          </w:p>
        </w:tc>
      </w:tr>
      <w:tr w14:paraId="5A3F4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789"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00948AE1">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LIU Heng</w:t>
            </w:r>
          </w:p>
        </w:tc>
        <w:tc>
          <w:tcPr>
            <w:tcW w:w="6733" w:type="dxa"/>
            <w:tcBorders>
              <w:top w:val="single" w:color="BBBBBB" w:sz="4" w:space="0"/>
              <w:left w:val="single" w:color="BBBBBB" w:sz="4" w:space="0"/>
              <w:bottom w:val="single" w:color="BBBBBB" w:sz="4" w:space="0"/>
              <w:right w:val="single" w:color="BBBBBB" w:sz="4" w:space="0"/>
            </w:tcBorders>
            <w:shd w:val="clear" w:color="auto" w:fill="auto"/>
            <w:tcMar>
              <w:top w:w="80" w:type="dxa"/>
              <w:left w:w="140" w:type="dxa"/>
              <w:bottom w:w="80" w:type="dxa"/>
              <w:right w:w="140" w:type="dxa"/>
            </w:tcMar>
            <w:vAlign w:val="center"/>
          </w:tcPr>
          <w:p w14:paraId="153E09F0">
            <w:pPr>
              <w:keepNext w:val="0"/>
              <w:keepLines w:val="0"/>
              <w:pageBreakBefore w:val="0"/>
              <w:widowControl/>
              <w:suppressLineNumbers w:val="0"/>
              <w:kinsoku/>
              <w:wordWrap/>
              <w:overflowPunct/>
              <w:topLinePunct w:val="0"/>
              <w:autoSpaceDE/>
              <w:autoSpaceDN/>
              <w:bidi w:val="0"/>
              <w:adjustRightInd/>
              <w:snapToGrid w:val="0"/>
              <w:spacing w:afterLines="0" w:line="240" w:lineRule="auto"/>
              <w:ind w:left="0" w:leftChars="0" w:right="0" w:rightChars="0" w:firstLine="0" w:firstLineChars="0"/>
              <w:jc w:val="both"/>
              <w:textAlignment w:val="auto"/>
              <w:rPr>
                <w:rFonts w:hint="default" w:ascii="Arial" w:hAnsi="Arial" w:eastAsia="宋体" w:cs="Arial"/>
                <w:color w:val="1A1A1A"/>
                <w:sz w:val="24"/>
                <w:szCs w:val="24"/>
              </w:rPr>
            </w:pPr>
            <w:r>
              <w:rPr>
                <w:rFonts w:hint="default" w:ascii="Arial" w:hAnsi="Arial" w:eastAsia="宋体" w:cs="Arial"/>
                <w:color w:val="1A1A1A"/>
                <w:sz w:val="24"/>
                <w:szCs w:val="24"/>
              </w:rPr>
              <w:t>Senior Technical Advisor, UNIDO Division of Climate and Technology Partnerships (CTP)</w:t>
            </w:r>
          </w:p>
        </w:tc>
      </w:tr>
    </w:tbl>
    <w:p w14:paraId="6AE173D7">
      <w:pPr>
        <w:keepNext w:val="0"/>
        <w:keepLines w:val="0"/>
        <w:widowControl/>
        <w:suppressLineNumbers w:val="0"/>
        <w:pBdr>
          <w:top w:val="none" w:color="auto" w:sz="0" w:space="0"/>
          <w:left w:val="single" w:color="1A3C6E" w:sz="36" w:space="7"/>
          <w:bottom w:val="none" w:color="auto" w:sz="0" w:space="0"/>
        </w:pBdr>
        <w:shd w:val="clear" w:fill="F0F4FA"/>
        <w:spacing w:before="280" w:beforeAutospacing="0" w:after="100" w:afterAutospacing="0" w:line="18" w:lineRule="atLeast"/>
        <w:jc w:val="left"/>
        <w:rPr>
          <w:rFonts w:hint="default" w:ascii="Arial" w:hAnsi="Arial" w:cs="Arial"/>
          <w:b/>
          <w:bCs/>
          <w:color w:val="1A1A1A"/>
          <w:sz w:val="28"/>
          <w:szCs w:val="28"/>
        </w:rPr>
      </w:pPr>
      <w:r>
        <w:rPr>
          <w:rFonts w:hint="default" w:ascii="Arial" w:hAnsi="Arial" w:eastAsia="宋体" w:cs="Arial"/>
          <w:b/>
          <w:bCs/>
          <w:color w:val="1A1A1A"/>
          <w:sz w:val="28"/>
          <w:szCs w:val="28"/>
          <w:shd w:val="clear" w:fill="F0F4FA"/>
        </w:rPr>
        <w:t>I. Background and Role of the Review Committee</w:t>
      </w:r>
    </w:p>
    <w:p w14:paraId="1BF76D7A">
      <w:pPr>
        <w:pStyle w:val="10"/>
        <w:keepNext w:val="0"/>
        <w:keepLines w:val="0"/>
        <w:widowControl/>
        <w:suppressLineNumbers w:val="0"/>
        <w:spacing w:line="18" w:lineRule="atLeast"/>
        <w:rPr>
          <w:rFonts w:hint="default" w:ascii="Arial" w:hAnsi="Arial" w:cs="Arial"/>
          <w:sz w:val="24"/>
          <w:szCs w:val="24"/>
        </w:rPr>
      </w:pPr>
      <w:r>
        <w:rPr>
          <w:rFonts w:hint="default" w:ascii="Arial" w:hAnsi="Arial" w:cs="Arial"/>
          <w:color w:val="1A1A1A"/>
          <w:sz w:val="24"/>
          <w:szCs w:val="24"/>
        </w:rPr>
        <w:t xml:space="preserve">The IHIPC </w:t>
      </w:r>
      <w:r>
        <w:rPr>
          <w:rFonts w:hint="eastAsia" w:eastAsia="宋体" w:cs="Arial"/>
          <w:color w:val="1A1A1A"/>
          <w:sz w:val="24"/>
          <w:szCs w:val="24"/>
          <w:lang w:val="en-US" w:eastAsia="zh-CN"/>
        </w:rPr>
        <w:t xml:space="preserve">2026 </w:t>
      </w:r>
      <w:r>
        <w:rPr>
          <w:rFonts w:hint="default" w:ascii="Arial" w:hAnsi="Arial" w:cs="Arial"/>
          <w:color w:val="1A1A1A"/>
          <w:sz w:val="24"/>
          <w:szCs w:val="24"/>
        </w:rPr>
        <w:t xml:space="preserve">is themed </w:t>
      </w:r>
      <w:r>
        <w:rPr>
          <w:rStyle w:val="14"/>
          <w:rFonts w:hint="default" w:ascii="Arial" w:hAnsi="Arial" w:cs="Arial"/>
          <w:bCs/>
          <w:color w:val="1A1A1A"/>
          <w:sz w:val="24"/>
          <w:szCs w:val="24"/>
        </w:rPr>
        <w:t>"From Vision to Action: Advancing Accessible, Affordable and Resilient Hydrogen Solutions"</w:t>
      </w:r>
      <w:r>
        <w:rPr>
          <w:rFonts w:hint="default" w:ascii="Arial" w:hAnsi="Arial" w:cs="Arial"/>
          <w:color w:val="1A1A1A"/>
          <w:sz w:val="24"/>
          <w:szCs w:val="24"/>
        </w:rPr>
        <w:t>, focusing on innovation across the full hydrogen value chain — covering hydrogen production, storage and transportation, hydrogen fuel cells, hydrogen applications, and hydrogen new materials — with a global call for cutting-edge projects from enterprises, universities, and research teams worldwide.</w:t>
      </w:r>
    </w:p>
    <w:p w14:paraId="4DA37BBC">
      <w:pPr>
        <w:pStyle w:val="10"/>
        <w:keepNext w:val="0"/>
        <w:keepLines w:val="0"/>
        <w:widowControl/>
        <w:suppressLineNumbers w:val="0"/>
        <w:spacing w:line="18" w:lineRule="atLeast"/>
        <w:rPr>
          <w:rFonts w:hint="default" w:ascii="Arial" w:hAnsi="Arial" w:cs="Arial"/>
          <w:sz w:val="24"/>
          <w:szCs w:val="24"/>
        </w:rPr>
      </w:pPr>
      <w:r>
        <w:rPr>
          <w:rFonts w:hint="eastAsia" w:eastAsia="宋体" w:cs="Arial"/>
          <w:color w:val="1A1A1A"/>
          <w:sz w:val="24"/>
          <w:szCs w:val="24"/>
          <w:lang w:val="en-US" w:eastAsia="zh-CN"/>
        </w:rPr>
        <w:t>Jury Panel members</w:t>
      </w:r>
      <w:r>
        <w:rPr>
          <w:rFonts w:hint="default" w:ascii="Arial" w:hAnsi="Arial" w:cs="Arial"/>
          <w:color w:val="1A1A1A"/>
          <w:sz w:val="24"/>
          <w:szCs w:val="24"/>
        </w:rPr>
        <w:t xml:space="preserve"> will lead the full evaluation process, conducting independent assessments across six dimensions: </w:t>
      </w:r>
      <w:r>
        <w:rPr>
          <w:rStyle w:val="15"/>
          <w:rFonts w:hint="default" w:ascii="Arial" w:hAnsi="Arial" w:cs="Arial"/>
          <w:b/>
          <w:bCs/>
          <w:color w:val="1A1A1A"/>
          <w:sz w:val="24"/>
          <w:szCs w:val="24"/>
        </w:rPr>
        <w:t>technological innovation, market feasibility, team competence, commercial value, social impact, and international adaptability</w:t>
      </w:r>
      <w:r>
        <w:rPr>
          <w:rFonts w:hint="default" w:ascii="Arial" w:hAnsi="Arial" w:cs="Arial"/>
          <w:color w:val="1A1A1A"/>
          <w:sz w:val="24"/>
          <w:szCs w:val="24"/>
        </w:rPr>
        <w:t>. They will also provide professional guidance to outstanding projects, supporting technology commercialisation and industry resource matchmaking.</w:t>
      </w:r>
    </w:p>
    <w:p w14:paraId="2E8103A7">
      <w:pPr>
        <w:keepNext w:val="0"/>
        <w:keepLines w:val="0"/>
        <w:widowControl/>
        <w:suppressLineNumbers w:val="0"/>
        <w:pBdr>
          <w:top w:val="none" w:color="auto" w:sz="0" w:space="0"/>
          <w:left w:val="single" w:color="1A3C6E" w:sz="36" w:space="7"/>
          <w:bottom w:val="none" w:color="auto" w:sz="0" w:space="0"/>
        </w:pBdr>
        <w:shd w:val="clear" w:fill="F0F4FA"/>
        <w:spacing w:before="280" w:beforeAutospacing="0" w:after="100" w:afterAutospacing="0" w:line="18" w:lineRule="atLeast"/>
        <w:jc w:val="left"/>
        <w:rPr>
          <w:rFonts w:hint="default" w:ascii="Arial" w:hAnsi="Arial" w:cs="Arial"/>
          <w:b/>
          <w:bCs/>
          <w:color w:val="1A1A1A"/>
          <w:sz w:val="28"/>
          <w:szCs w:val="28"/>
        </w:rPr>
      </w:pPr>
      <w:r>
        <w:rPr>
          <w:rFonts w:hint="default" w:ascii="Arial" w:hAnsi="Arial" w:eastAsia="宋体" w:cs="Arial"/>
          <w:b/>
          <w:bCs/>
          <w:color w:val="1A1A1A"/>
          <w:sz w:val="28"/>
          <w:szCs w:val="28"/>
          <w:shd w:val="clear" w:fill="F0F4FA"/>
        </w:rPr>
        <w:t>II. Scope of Recruitment</w:t>
      </w:r>
    </w:p>
    <w:p w14:paraId="1EA2F28E">
      <w:pPr>
        <w:pStyle w:val="10"/>
        <w:keepNext w:val="0"/>
        <w:keepLines w:val="0"/>
        <w:widowControl/>
        <w:suppressLineNumbers w:val="0"/>
        <w:spacing w:line="18" w:lineRule="atLeast"/>
        <w:rPr>
          <w:rFonts w:hint="default" w:ascii="Arial" w:hAnsi="Arial" w:cs="Arial"/>
          <w:sz w:val="24"/>
          <w:szCs w:val="24"/>
        </w:rPr>
      </w:pPr>
      <w:r>
        <w:rPr>
          <w:rFonts w:hint="default" w:ascii="Arial" w:hAnsi="Arial" w:cs="Arial"/>
          <w:color w:val="1A1A1A"/>
          <w:sz w:val="24"/>
          <w:szCs w:val="24"/>
        </w:rPr>
        <w:t>We welcome authoritative experts, industry leaders, seasoned investors, and technical pioneers from around the world across the following four categories:</w:t>
      </w:r>
    </w:p>
    <w:p w14:paraId="7B3FE81C">
      <w:pPr>
        <w:keepNext w:val="0"/>
        <w:keepLines w:val="0"/>
        <w:widowControl/>
        <w:numPr>
          <w:ilvl w:val="0"/>
          <w:numId w:val="1"/>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Academic &amp; Research:</w:t>
      </w:r>
      <w:r>
        <w:rPr>
          <w:rFonts w:hint="default" w:ascii="Arial" w:hAnsi="Arial" w:cs="Arial"/>
          <w:color w:val="1A1A1A"/>
          <w:sz w:val="24"/>
          <w:szCs w:val="24"/>
        </w:rPr>
        <w:t xml:space="preserve"> Professors or above at domestic and international universities or research institutes in hydrogen and related disciplines; or core researchers holding a doctoral degree with 5+ years of research experience. Academicians of the Chinese Academy of Sciences/Engineering, and recipients of national or provincial hydrogen talent programmes are given priority.</w:t>
      </w:r>
    </w:p>
    <w:p w14:paraId="4C0E305F">
      <w:pPr>
        <w:keepNext w:val="0"/>
        <w:keepLines w:val="0"/>
        <w:widowControl/>
        <w:numPr>
          <w:ilvl w:val="0"/>
          <w:numId w:val="1"/>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Industry &amp; Technology:</w:t>
      </w:r>
      <w:r>
        <w:rPr>
          <w:rFonts w:hint="default" w:ascii="Arial" w:hAnsi="Arial" w:cs="Arial"/>
          <w:color w:val="1A1A1A"/>
          <w:sz w:val="24"/>
          <w:szCs w:val="24"/>
        </w:rPr>
        <w:t xml:space="preserve"> Senior engineers or above in enterprises across the hydrogen value chain (production equipment, storage and transport, fuel cells, application scenarios, etc.); or individuals holding positions such as Chief Technology Officer, Chief Scientist, or senior executive with 5+ years of industry R&amp;D or management experience.</w:t>
      </w:r>
    </w:p>
    <w:p w14:paraId="51F7E3CE">
      <w:pPr>
        <w:keepNext w:val="0"/>
        <w:keepLines w:val="0"/>
        <w:widowControl/>
        <w:numPr>
          <w:ilvl w:val="0"/>
          <w:numId w:val="1"/>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Investment &amp; Finance:</w:t>
      </w:r>
      <w:r>
        <w:rPr>
          <w:rFonts w:hint="default" w:ascii="Arial" w:hAnsi="Arial" w:cs="Arial"/>
          <w:color w:val="1A1A1A"/>
          <w:sz w:val="24"/>
          <w:szCs w:val="24"/>
        </w:rPr>
        <w:t xml:space="preserve"> Partners, investment directors, or senior investors at funds, banks, securities firms, or other investment institutions focused on new energy, hydrogen, or green technology; with 5+ years of experience in hard-tech/hydrogen investment, and a track record of leading hydrogen-related investments or exits.</w:t>
      </w:r>
    </w:p>
    <w:p w14:paraId="39C2E9CB">
      <w:pPr>
        <w:keepNext w:val="0"/>
        <w:keepLines w:val="0"/>
        <w:widowControl/>
        <w:numPr>
          <w:ilvl w:val="0"/>
          <w:numId w:val="1"/>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Policy &amp; Standards:</w:t>
      </w:r>
      <w:r>
        <w:rPr>
          <w:rFonts w:hint="default" w:ascii="Arial" w:hAnsi="Arial" w:cs="Arial"/>
          <w:color w:val="1A1A1A"/>
          <w:sz w:val="24"/>
          <w:szCs w:val="24"/>
        </w:rPr>
        <w:t xml:space="preserve"> Senior experts from domestic and international energy authorities, industry associations, or standardisation bodies with long-term experience in hydrogen policy formulation, industry standards research, or industrial planning; familiar with global hydrogen policy frameworks and development trends.</w:t>
      </w:r>
    </w:p>
    <w:p w14:paraId="1A94DADF">
      <w:pPr>
        <w:keepNext w:val="0"/>
        <w:keepLines w:val="0"/>
        <w:widowControl/>
        <w:suppressLineNumbers w:val="0"/>
        <w:pBdr>
          <w:top w:val="none" w:color="auto" w:sz="0" w:space="0"/>
          <w:left w:val="single" w:color="1A3C6E" w:sz="36" w:space="7"/>
          <w:bottom w:val="none" w:color="auto" w:sz="0" w:space="0"/>
        </w:pBdr>
        <w:shd w:val="clear" w:fill="F0F4FA"/>
        <w:spacing w:before="280" w:beforeAutospacing="0" w:after="100" w:afterAutospacing="0" w:line="18" w:lineRule="atLeast"/>
        <w:jc w:val="left"/>
        <w:rPr>
          <w:rFonts w:hint="default" w:ascii="Arial" w:hAnsi="Arial" w:cs="Arial"/>
          <w:b/>
          <w:bCs/>
          <w:color w:val="1A1A1A"/>
          <w:sz w:val="28"/>
          <w:szCs w:val="28"/>
        </w:rPr>
      </w:pPr>
      <w:r>
        <w:rPr>
          <w:rFonts w:hint="default" w:ascii="Arial" w:hAnsi="Arial" w:eastAsia="宋体" w:cs="Arial"/>
          <w:b/>
          <w:bCs/>
          <w:color w:val="1A1A1A"/>
          <w:sz w:val="28"/>
          <w:szCs w:val="28"/>
          <w:shd w:val="clear" w:fill="F0F4FA"/>
        </w:rPr>
        <w:t>III. Eligibility Requirements</w:t>
      </w:r>
    </w:p>
    <w:p w14:paraId="1229CFE4">
      <w:pPr>
        <w:keepNext w:val="0"/>
        <w:keepLines w:val="0"/>
        <w:widowControl/>
        <w:numPr>
          <w:ilvl w:val="0"/>
          <w:numId w:val="2"/>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Adherence to review discipline; commitment to fairness, impartiality, and transparency; no record of academic misconduct or industry dishonesty.</w:t>
      </w:r>
    </w:p>
    <w:p w14:paraId="2DE3797F">
      <w:pPr>
        <w:keepNext w:val="0"/>
        <w:keepLines w:val="0"/>
        <w:widowControl/>
        <w:numPr>
          <w:ilvl w:val="0"/>
          <w:numId w:val="2"/>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5+ years of deep engagement in hydrogen energy or related fields; solid professional expertise, sharp industry insight, and independent evaluation capability; familiarity with domestic and international hydrogen technology frontiers and industry dynamics.</w:t>
      </w:r>
    </w:p>
    <w:p w14:paraId="4D2055C0">
      <w:pPr>
        <w:keepNext w:val="0"/>
        <w:keepLines w:val="0"/>
        <w:widowControl/>
        <w:numPr>
          <w:ilvl w:val="0"/>
          <w:numId w:val="2"/>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Voluntary commitment to reviewer responsibilities; pledge to maintain confidentiality of review details, project information, and results; non-interference in the review process; no acceptance of improper benefits from participating parties.</w:t>
      </w:r>
    </w:p>
    <w:p w14:paraId="6FF76187">
      <w:pPr>
        <w:keepNext w:val="0"/>
        <w:keepLines w:val="0"/>
        <w:widowControl/>
        <w:numPr>
          <w:ilvl w:val="0"/>
          <w:numId w:val="2"/>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Ability to cooperate with the organiser in completing reviewer training, expert grouping, and feedback submission.</w:t>
      </w:r>
    </w:p>
    <w:p w14:paraId="6B4AC529">
      <w:pPr>
        <w:keepNext w:val="0"/>
        <w:keepLines w:val="0"/>
        <w:widowControl/>
        <w:suppressLineNumbers w:val="0"/>
        <w:pBdr>
          <w:top w:val="none" w:color="auto" w:sz="0" w:space="0"/>
          <w:left w:val="single" w:color="1A3C6E" w:sz="36" w:space="7"/>
          <w:bottom w:val="none" w:color="auto" w:sz="0" w:space="0"/>
        </w:pBdr>
        <w:shd w:val="clear" w:fill="F0F4FA"/>
        <w:spacing w:before="280" w:beforeAutospacing="0" w:after="100" w:afterAutospacing="0" w:line="18" w:lineRule="atLeast"/>
        <w:jc w:val="left"/>
        <w:rPr>
          <w:rFonts w:hint="default" w:ascii="Arial" w:hAnsi="Arial" w:cs="Arial"/>
          <w:b/>
          <w:bCs/>
          <w:color w:val="1A1A1A"/>
          <w:sz w:val="28"/>
          <w:szCs w:val="28"/>
        </w:rPr>
      </w:pPr>
      <w:r>
        <w:rPr>
          <w:rFonts w:hint="default" w:ascii="Arial" w:hAnsi="Arial" w:eastAsia="宋体" w:cs="Arial"/>
          <w:b/>
          <w:bCs/>
          <w:color w:val="1A1A1A"/>
          <w:sz w:val="28"/>
          <w:szCs w:val="28"/>
          <w:shd w:val="clear" w:fill="F0F4FA"/>
        </w:rPr>
        <w:t>IV. Responsibilities</w:t>
      </w:r>
    </w:p>
    <w:p w14:paraId="3CAD87CC">
      <w:pPr>
        <w:keepNext w:val="0"/>
        <w:keepLines w:val="0"/>
        <w:widowControl/>
        <w:numPr>
          <w:ilvl w:val="0"/>
          <w:numId w:val="3"/>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Participate in Competition Review:</w:t>
      </w:r>
      <w:r>
        <w:rPr>
          <w:rFonts w:hint="default" w:ascii="Arial" w:hAnsi="Arial" w:cs="Arial"/>
          <w:color w:val="1A1A1A"/>
          <w:sz w:val="24"/>
          <w:szCs w:val="24"/>
        </w:rPr>
        <w:t xml:space="preserve"> Conduct rigorous material review, scoring, and deliberation in accordance with evaluation criteria; provide objective written assessment opinions.</w:t>
      </w:r>
    </w:p>
    <w:p w14:paraId="0ED5EFA1">
      <w:pPr>
        <w:keepNext w:val="0"/>
        <w:keepLines w:val="0"/>
        <w:widowControl/>
        <w:numPr>
          <w:ilvl w:val="0"/>
          <w:numId w:val="3"/>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Provide Professional Guidance:</w:t>
      </w:r>
      <w:r>
        <w:rPr>
          <w:rFonts w:hint="default" w:ascii="Arial" w:hAnsi="Arial" w:cs="Arial"/>
          <w:color w:val="1A1A1A"/>
          <w:sz w:val="24"/>
          <w:szCs w:val="24"/>
        </w:rPr>
        <w:t xml:space="preserve"> Offer targeted improvement suggestions to outstanding projects, helping them refine technical solutions, enhance business plans, and connect with industry resources.</w:t>
      </w:r>
    </w:p>
    <w:p w14:paraId="22A23AF6">
      <w:pPr>
        <w:keepNext w:val="0"/>
        <w:keepLines w:val="0"/>
        <w:widowControl/>
        <w:numPr>
          <w:ilvl w:val="0"/>
          <w:numId w:val="3"/>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Observe Review Discipline:</w:t>
      </w:r>
      <w:r>
        <w:rPr>
          <w:rFonts w:hint="default" w:ascii="Arial" w:hAnsi="Arial" w:cs="Arial"/>
          <w:color w:val="1A1A1A"/>
          <w:sz w:val="24"/>
          <w:szCs w:val="24"/>
        </w:rPr>
        <w:t xml:space="preserve"> Strictly comply with confidentiality and recusal requirements. Reviewers with any conflict of interest (e.g., equity holding, partnership, or family relationship with participating projects) must proactively declare recusal. Violations are strictly prohibited.</w:t>
      </w:r>
    </w:p>
    <w:p w14:paraId="3D0BF50A">
      <w:pPr>
        <w:keepNext w:val="0"/>
        <w:keepLines w:val="0"/>
        <w:widowControl/>
        <w:numPr>
          <w:ilvl w:val="0"/>
          <w:numId w:val="3"/>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Participate in Post-Competition Review:</w:t>
      </w:r>
      <w:r>
        <w:rPr>
          <w:rFonts w:hint="default" w:ascii="Arial" w:hAnsi="Arial" w:cs="Arial"/>
          <w:color w:val="1A1A1A"/>
          <w:sz w:val="24"/>
          <w:szCs w:val="24"/>
        </w:rPr>
        <w:t xml:space="preserve"> Cooperate with the organiser in completing review summaries, issue feedback, and improvement recommendations to support the continuous enhancement of the competition's review system.</w:t>
      </w:r>
    </w:p>
    <w:p w14:paraId="3571BFEB">
      <w:pPr>
        <w:keepNext w:val="0"/>
        <w:keepLines w:val="0"/>
        <w:widowControl/>
        <w:suppressLineNumbers w:val="0"/>
        <w:pBdr>
          <w:top w:val="none" w:color="auto" w:sz="0" w:space="0"/>
          <w:left w:val="single" w:color="1A3C6E" w:sz="36" w:space="7"/>
          <w:bottom w:val="none" w:color="auto" w:sz="0" w:space="0"/>
        </w:pBdr>
        <w:shd w:val="clear" w:fill="F0F4FA"/>
        <w:spacing w:before="280" w:beforeAutospacing="0" w:after="100" w:afterAutospacing="0" w:line="18" w:lineRule="atLeast"/>
        <w:jc w:val="left"/>
        <w:rPr>
          <w:rFonts w:hint="default" w:ascii="Arial" w:hAnsi="Arial" w:cs="Arial"/>
          <w:b/>
          <w:bCs/>
          <w:color w:val="1A1A1A"/>
          <w:sz w:val="28"/>
          <w:szCs w:val="28"/>
        </w:rPr>
      </w:pPr>
      <w:r>
        <w:rPr>
          <w:rFonts w:hint="default" w:ascii="Arial" w:hAnsi="Arial" w:eastAsia="宋体" w:cs="Arial"/>
          <w:b/>
          <w:bCs/>
          <w:color w:val="1A1A1A"/>
          <w:sz w:val="28"/>
          <w:szCs w:val="28"/>
          <w:shd w:val="clear" w:fill="F0F4FA"/>
        </w:rPr>
        <w:t>V. Application Process</w:t>
      </w:r>
    </w:p>
    <w:p w14:paraId="761B10B4">
      <w:pPr>
        <w:pStyle w:val="10"/>
        <w:keepNext w:val="0"/>
        <w:keepLines w:val="0"/>
        <w:widowControl/>
        <w:suppressLineNumbers w:val="0"/>
        <w:spacing w:line="18" w:lineRule="atLeast"/>
        <w:rPr>
          <w:rFonts w:hint="default" w:ascii="Arial" w:hAnsi="Arial" w:cs="Arial"/>
          <w:sz w:val="24"/>
          <w:szCs w:val="24"/>
        </w:rPr>
      </w:pPr>
      <w:r>
        <w:rPr>
          <w:rStyle w:val="14"/>
          <w:rFonts w:hint="default" w:ascii="Arial" w:hAnsi="Arial" w:cs="Arial"/>
          <w:bCs/>
          <w:color w:val="1A1A1A"/>
          <w:sz w:val="24"/>
          <w:szCs w:val="24"/>
        </w:rPr>
        <w:t>(i) Application Period</w:t>
      </w:r>
      <w:r>
        <w:rPr>
          <w:rFonts w:hint="default" w:ascii="Arial" w:hAnsi="Arial" w:cs="Arial"/>
          <w:color w:val="1A1A1A"/>
          <w:sz w:val="24"/>
          <w:szCs w:val="24"/>
        </w:rPr>
        <w:br w:type="textWrapping"/>
      </w:r>
      <w:r>
        <w:rPr>
          <w:rFonts w:hint="default" w:ascii="Arial" w:hAnsi="Arial" w:cs="Arial"/>
          <w:color w:val="1A1A1A"/>
          <w:sz w:val="24"/>
          <w:szCs w:val="24"/>
        </w:rPr>
        <w:t xml:space="preserve">From the date of this notice until </w:t>
      </w:r>
      <w:r>
        <w:rPr>
          <w:rStyle w:val="14"/>
          <w:rFonts w:hint="default" w:ascii="Arial" w:hAnsi="Arial" w:cs="Arial"/>
          <w:bCs/>
          <w:color w:val="1A1A1A"/>
          <w:sz w:val="24"/>
          <w:szCs w:val="24"/>
        </w:rPr>
        <w:t>25 June 2026 (Beijing Time)</w:t>
      </w:r>
      <w:r>
        <w:rPr>
          <w:rFonts w:hint="default" w:ascii="Arial" w:hAnsi="Arial" w:cs="Arial"/>
          <w:color w:val="1A1A1A"/>
          <w:sz w:val="24"/>
          <w:szCs w:val="24"/>
        </w:rPr>
        <w:t>. Late submissions will not be accepted.</w:t>
      </w:r>
    </w:p>
    <w:p w14:paraId="37315D43">
      <w:pPr>
        <w:pStyle w:val="10"/>
        <w:keepNext w:val="0"/>
        <w:keepLines w:val="0"/>
        <w:widowControl/>
        <w:suppressLineNumbers w:val="0"/>
        <w:spacing w:line="18" w:lineRule="atLeast"/>
        <w:rPr>
          <w:rFonts w:hint="default" w:ascii="Arial" w:hAnsi="Arial" w:cs="Arial"/>
          <w:sz w:val="24"/>
          <w:szCs w:val="24"/>
        </w:rPr>
      </w:pPr>
      <w:r>
        <w:rPr>
          <w:rStyle w:val="14"/>
          <w:rFonts w:hint="default" w:ascii="Arial" w:hAnsi="Arial" w:cs="Arial"/>
          <w:bCs/>
          <w:color w:val="1A1A1A"/>
          <w:sz w:val="24"/>
          <w:szCs w:val="24"/>
        </w:rPr>
        <w:t>(ii) Required Documents</w:t>
      </w:r>
    </w:p>
    <w:p w14:paraId="1B2D4D5B">
      <w:pPr>
        <w:keepNext w:val="0"/>
        <w:keepLines w:val="0"/>
        <w:widowControl/>
        <w:numPr>
          <w:ilvl w:val="0"/>
          <w:numId w:val="4"/>
        </w:numPr>
        <w:suppressLineNumbers w:val="0"/>
        <w:spacing w:before="0" w:beforeAutospacing="1" w:after="60" w:afterAutospacing="0" w:line="18" w:lineRule="atLeast"/>
        <w:ind w:left="720" w:hanging="360"/>
        <w:rPr>
          <w:rFonts w:hint="default" w:ascii="Arial" w:hAnsi="Arial" w:cs="Arial"/>
          <w:sz w:val="24"/>
          <w:szCs w:val="24"/>
        </w:rPr>
      </w:pPr>
      <w:r>
        <w:rPr>
          <w:rStyle w:val="15"/>
          <w:rFonts w:hint="default" w:ascii="Arial" w:hAnsi="Arial" w:cs="Arial"/>
          <w:b/>
          <w:bCs/>
          <w:color w:val="1A1A1A"/>
          <w:sz w:val="24"/>
          <w:szCs w:val="24"/>
        </w:rPr>
        <w:t>IHIPC</w:t>
      </w:r>
      <w:r>
        <w:rPr>
          <w:rStyle w:val="15"/>
          <w:rFonts w:hint="eastAsia" w:cs="Arial"/>
          <w:b/>
          <w:bCs/>
          <w:color w:val="1A1A1A"/>
          <w:sz w:val="24"/>
          <w:szCs w:val="24"/>
          <w:lang w:val="en-US"/>
        </w:rPr>
        <w:t xml:space="preserve"> 2026</w:t>
      </w:r>
      <w:r>
        <w:rPr>
          <w:rStyle w:val="15"/>
          <w:rFonts w:hint="default" w:ascii="Arial" w:hAnsi="Arial" w:cs="Arial"/>
          <w:b/>
          <w:bCs/>
          <w:color w:val="1A1A1A"/>
          <w:sz w:val="24"/>
          <w:szCs w:val="24"/>
        </w:rPr>
        <w:t xml:space="preserve"> </w:t>
      </w:r>
      <w:r>
        <w:rPr>
          <w:rStyle w:val="15"/>
          <w:rFonts w:hint="eastAsia" w:cs="Arial"/>
          <w:b/>
          <w:bCs/>
          <w:color w:val="1A1A1A"/>
          <w:sz w:val="24"/>
          <w:szCs w:val="24"/>
          <w:lang w:val="en-US"/>
        </w:rPr>
        <w:t>Jury Panel Member</w:t>
      </w:r>
      <w:r>
        <w:rPr>
          <w:rStyle w:val="15"/>
          <w:rFonts w:hint="default" w:ascii="Arial" w:hAnsi="Arial" w:cs="Arial"/>
          <w:b/>
          <w:bCs/>
          <w:color w:val="1A1A1A"/>
          <w:sz w:val="24"/>
          <w:szCs w:val="24"/>
        </w:rPr>
        <w:t xml:space="preserve"> Application Form</w:t>
      </w:r>
    </w:p>
    <w:p w14:paraId="42655DF7">
      <w:pPr>
        <w:keepNext w:val="0"/>
        <w:keepLines w:val="0"/>
        <w:widowControl/>
        <w:numPr>
          <w:ilvl w:val="0"/>
          <w:numId w:val="4"/>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Curriculum Vitae (including educational background, work experience, professional achievements, industry honours, and representative projects)</w:t>
      </w:r>
    </w:p>
    <w:p w14:paraId="4B1C99AB">
      <w:pPr>
        <w:keepNext w:val="0"/>
        <w:keepLines w:val="0"/>
        <w:widowControl/>
        <w:numPr>
          <w:ilvl w:val="0"/>
          <w:numId w:val="4"/>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Scanned copies of professional title, academic degree, and qualification certificates (PDF format; individual files not to exceed 5 MB)</w:t>
      </w:r>
    </w:p>
    <w:p w14:paraId="3D4B84D3">
      <w:pPr>
        <w:keepNext w:val="0"/>
        <w:keepLines w:val="0"/>
        <w:widowControl/>
        <w:numPr>
          <w:ilvl w:val="0"/>
          <w:numId w:val="4"/>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One passport-style photo (electronic, JPG format, resolution ≥ 300 dpi)</w:t>
      </w:r>
    </w:p>
    <w:p w14:paraId="14D9E22B">
      <w:pPr>
        <w:keepNext w:val="0"/>
        <w:keepLines w:val="0"/>
        <w:widowControl/>
        <w:numPr>
          <w:ilvl w:val="0"/>
          <w:numId w:val="4"/>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Optional supplementary materials (academic papers, patent certificates, investment case studies, industry reports, etc.)</w:t>
      </w:r>
    </w:p>
    <w:p w14:paraId="5CEA5B2D">
      <w:pPr>
        <w:pStyle w:val="10"/>
        <w:keepNext w:val="0"/>
        <w:keepLines w:val="0"/>
        <w:widowControl/>
        <w:suppressLineNumbers w:val="0"/>
        <w:spacing w:line="18" w:lineRule="atLeast"/>
        <w:rPr>
          <w:rFonts w:hint="default" w:ascii="Arial" w:hAnsi="Arial" w:cs="Arial"/>
          <w:sz w:val="24"/>
          <w:szCs w:val="24"/>
        </w:rPr>
      </w:pPr>
      <w:r>
        <w:rPr>
          <w:rStyle w:val="14"/>
          <w:rFonts w:hint="default" w:ascii="Arial" w:hAnsi="Arial" w:cs="Arial"/>
          <w:bCs/>
          <w:color w:val="1A1A1A"/>
          <w:sz w:val="24"/>
          <w:szCs w:val="24"/>
        </w:rPr>
        <w:t>(iii) Submission Method</w:t>
      </w:r>
      <w:r>
        <w:rPr>
          <w:rFonts w:hint="default" w:ascii="Arial" w:hAnsi="Arial" w:cs="Arial"/>
          <w:color w:val="1A1A1A"/>
          <w:sz w:val="24"/>
          <w:szCs w:val="24"/>
        </w:rPr>
        <w:br w:type="textWrapping"/>
      </w:r>
      <w:r>
        <w:rPr>
          <w:rFonts w:hint="default" w:ascii="Arial" w:hAnsi="Arial" w:cs="Arial"/>
          <w:color w:val="1A1A1A"/>
          <w:sz w:val="24"/>
          <w:szCs w:val="24"/>
        </w:rPr>
        <w:t xml:space="preserve">Please compress all materials into a single archive (naming format: </w:t>
      </w:r>
      <w:r>
        <w:rPr>
          <w:rStyle w:val="15"/>
          <w:rFonts w:hint="default" w:ascii="Arial" w:hAnsi="Arial" w:cs="Arial"/>
          <w:b/>
          <w:bCs/>
          <w:color w:val="1A1A1A"/>
          <w:sz w:val="24"/>
          <w:szCs w:val="24"/>
        </w:rPr>
        <w:t>Name – Institution – Field</w:t>
      </w:r>
      <w:r>
        <w:rPr>
          <w:rFonts w:hint="default" w:ascii="Arial" w:hAnsi="Arial" w:cs="Arial"/>
          <w:color w:val="1A1A1A"/>
          <w:sz w:val="24"/>
          <w:szCs w:val="24"/>
        </w:rPr>
        <w:t xml:space="preserve">, e.g., </w:t>
      </w:r>
      <w:r>
        <w:rPr>
          <w:rStyle w:val="15"/>
          <w:rFonts w:hint="default" w:ascii="Arial" w:hAnsi="Arial" w:cs="Arial"/>
          <w:b/>
          <w:bCs/>
          <w:color w:val="1A1A1A"/>
          <w:sz w:val="24"/>
          <w:szCs w:val="24"/>
        </w:rPr>
        <w:t>Zhang San – XX University – Hydrogen Materials</w:t>
      </w:r>
      <w:r>
        <w:rPr>
          <w:rFonts w:hint="default" w:ascii="Arial" w:hAnsi="Arial" w:cs="Arial"/>
          <w:color w:val="1A1A1A"/>
          <w:sz w:val="24"/>
          <w:szCs w:val="24"/>
        </w:rPr>
        <w:t xml:space="preserve">) and send to: </w:t>
      </w:r>
      <w:r>
        <w:rPr>
          <w:rStyle w:val="14"/>
          <w:rFonts w:hint="default" w:ascii="Arial" w:hAnsi="Arial" w:cs="Arial"/>
          <w:bCs/>
          <w:color w:val="1A1A1A"/>
          <w:sz w:val="24"/>
          <w:szCs w:val="24"/>
        </w:rPr>
        <w:t>IHEC@hycentre.org.cn</w:t>
      </w:r>
      <w:r>
        <w:rPr>
          <w:rFonts w:hint="default" w:ascii="Arial" w:hAnsi="Arial" w:cs="Arial"/>
          <w:color w:val="1A1A1A"/>
          <w:sz w:val="24"/>
          <w:szCs w:val="24"/>
        </w:rPr>
        <w:br w:type="textWrapping"/>
      </w:r>
      <w:r>
        <w:rPr>
          <w:rFonts w:hint="default" w:ascii="Arial" w:hAnsi="Arial" w:cs="Arial"/>
          <w:color w:val="1A1A1A"/>
          <w:sz w:val="24"/>
          <w:szCs w:val="24"/>
        </w:rPr>
        <w:t xml:space="preserve">Subject line: </w:t>
      </w:r>
      <w:r>
        <w:rPr>
          <w:rStyle w:val="15"/>
          <w:rFonts w:hint="default" w:ascii="Arial" w:hAnsi="Arial" w:cs="Arial"/>
          <w:b/>
          <w:bCs/>
          <w:color w:val="1A1A1A"/>
          <w:sz w:val="24"/>
          <w:szCs w:val="24"/>
        </w:rPr>
        <w:t>"</w:t>
      </w:r>
      <w:r>
        <w:rPr>
          <w:rStyle w:val="15"/>
          <w:rFonts w:hint="eastAsia" w:cs="Arial"/>
          <w:b/>
          <w:bCs/>
          <w:color w:val="1A1A1A"/>
          <w:sz w:val="24"/>
          <w:szCs w:val="24"/>
        </w:rPr>
        <w:t>IHIPC 2026</w:t>
      </w:r>
      <w:r>
        <w:rPr>
          <w:rStyle w:val="15"/>
          <w:rFonts w:hint="default" w:ascii="Arial" w:hAnsi="Arial" w:cs="Arial"/>
          <w:b/>
          <w:bCs/>
          <w:color w:val="1A1A1A"/>
          <w:sz w:val="24"/>
          <w:szCs w:val="24"/>
        </w:rPr>
        <w:t xml:space="preserve"> Expert Reviewer Application – [Name]"</w:t>
      </w:r>
    </w:p>
    <w:p w14:paraId="4F4B9B8D">
      <w:pPr>
        <w:pStyle w:val="10"/>
        <w:keepNext w:val="0"/>
        <w:keepLines w:val="0"/>
        <w:widowControl/>
        <w:suppressLineNumbers w:val="0"/>
        <w:spacing w:line="18" w:lineRule="atLeast"/>
        <w:rPr>
          <w:rFonts w:hint="default" w:ascii="Arial" w:hAnsi="Arial" w:cs="Arial"/>
          <w:sz w:val="24"/>
          <w:szCs w:val="24"/>
        </w:rPr>
      </w:pPr>
      <w:r>
        <w:rPr>
          <w:rStyle w:val="14"/>
          <w:rFonts w:hint="default" w:ascii="Arial" w:hAnsi="Arial" w:cs="Arial"/>
          <w:bCs/>
          <w:color w:val="1A1A1A"/>
          <w:sz w:val="24"/>
          <w:szCs w:val="24"/>
        </w:rPr>
        <w:t>(iv) Review and Appointment</w:t>
      </w:r>
    </w:p>
    <w:p w14:paraId="7AE12575">
      <w:pPr>
        <w:keepNext w:val="0"/>
        <w:keepLines w:val="0"/>
        <w:widowControl/>
        <w:numPr>
          <w:ilvl w:val="0"/>
          <w:numId w:val="5"/>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Eligibility Review</w:t>
      </w:r>
      <w:r>
        <w:rPr>
          <w:rFonts w:hint="default" w:ascii="Arial" w:hAnsi="Arial" w:cs="Arial"/>
          <w:color w:val="1A1A1A"/>
          <w:sz w:val="24"/>
          <w:szCs w:val="24"/>
        </w:rPr>
        <w:t xml:space="preserve"> (1 June – 26 June 2026): A review panel comprising representatives from the guiding organisations, the organiser, and senior industry experts will assess all submitted materials for eligibility, completeness, authenticity, and professional competence to determine the list of proposed appointees.</w:t>
      </w:r>
    </w:p>
    <w:p w14:paraId="5BE73149">
      <w:pPr>
        <w:keepNext w:val="0"/>
        <w:keepLines w:val="0"/>
        <w:widowControl/>
        <w:numPr>
          <w:ilvl w:val="0"/>
          <w:numId w:val="5"/>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Public Notice and Appointment</w:t>
      </w:r>
      <w:r>
        <w:rPr>
          <w:rFonts w:hint="default" w:ascii="Arial" w:hAnsi="Arial" w:cs="Arial"/>
          <w:color w:val="1A1A1A"/>
          <w:sz w:val="24"/>
          <w:szCs w:val="24"/>
        </w:rPr>
        <w:t xml:space="preserve"> (30 June – 5 July 2026): The proposed appointee list will be published on the IHEC official website and the competition's official WeChat account for 5 working days. Upon completion without objection, the </w:t>
      </w:r>
      <w:r>
        <w:rPr>
          <w:rStyle w:val="15"/>
          <w:rFonts w:hint="eastAsia" w:cs="Arial"/>
          <w:b/>
          <w:bCs/>
          <w:color w:val="1A1A1A"/>
          <w:sz w:val="24"/>
          <w:szCs w:val="24"/>
        </w:rPr>
        <w:t>IHIPC 2026</w:t>
      </w:r>
      <w:r>
        <w:rPr>
          <w:rStyle w:val="15"/>
          <w:rFonts w:hint="eastAsia" w:cs="Arial"/>
          <w:b/>
          <w:bCs/>
          <w:color w:val="1A1A1A"/>
          <w:sz w:val="24"/>
          <w:szCs w:val="24"/>
          <w:lang w:val="en-US"/>
        </w:rPr>
        <w:t xml:space="preserve"> Jury Panel Member</w:t>
      </w:r>
      <w:r>
        <w:rPr>
          <w:rStyle w:val="15"/>
          <w:rFonts w:hint="default" w:ascii="Arial" w:hAnsi="Arial" w:cs="Arial"/>
          <w:b/>
          <w:bCs/>
          <w:color w:val="1A1A1A"/>
          <w:sz w:val="24"/>
          <w:szCs w:val="24"/>
        </w:rPr>
        <w:t xml:space="preserve"> Appointment Certificate</w:t>
      </w:r>
      <w:r>
        <w:rPr>
          <w:rFonts w:hint="default" w:ascii="Arial" w:hAnsi="Arial" w:cs="Arial"/>
          <w:color w:val="1A1A1A"/>
          <w:sz w:val="24"/>
          <w:szCs w:val="24"/>
        </w:rPr>
        <w:t xml:space="preserve"> will be formally issued.</w:t>
      </w:r>
    </w:p>
    <w:p w14:paraId="185BCB9C">
      <w:pPr>
        <w:keepNext w:val="0"/>
        <w:keepLines w:val="0"/>
        <w:widowControl/>
        <w:suppressLineNumbers w:val="0"/>
        <w:pBdr>
          <w:top w:val="none" w:color="auto" w:sz="0" w:space="0"/>
          <w:left w:val="single" w:color="1A3C6E" w:sz="36" w:space="7"/>
          <w:bottom w:val="none" w:color="auto" w:sz="0" w:space="0"/>
        </w:pBdr>
        <w:shd w:val="clear" w:fill="F0F4FA"/>
        <w:spacing w:before="280" w:beforeAutospacing="0" w:after="100" w:afterAutospacing="0" w:line="18" w:lineRule="atLeast"/>
        <w:jc w:val="left"/>
        <w:rPr>
          <w:rFonts w:hint="default" w:ascii="Arial" w:hAnsi="Arial" w:cs="Arial"/>
          <w:b/>
          <w:bCs/>
          <w:color w:val="1A1A1A"/>
          <w:sz w:val="28"/>
          <w:szCs w:val="28"/>
        </w:rPr>
      </w:pPr>
      <w:r>
        <w:rPr>
          <w:rFonts w:hint="default" w:ascii="Arial" w:hAnsi="Arial" w:eastAsia="宋体" w:cs="Arial"/>
          <w:b/>
          <w:bCs/>
          <w:color w:val="1A1A1A"/>
          <w:sz w:val="28"/>
          <w:szCs w:val="28"/>
          <w:shd w:val="clear" w:fill="F0F4FA"/>
        </w:rPr>
        <w:t>VI. Benefits and Recognition</w:t>
      </w:r>
    </w:p>
    <w:p w14:paraId="4D06026D">
      <w:pPr>
        <w:keepNext w:val="0"/>
        <w:keepLines w:val="0"/>
        <w:widowControl/>
        <w:numPr>
          <w:ilvl w:val="0"/>
          <w:numId w:val="6"/>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Official Certification:</w:t>
      </w:r>
      <w:r>
        <w:rPr>
          <w:rFonts w:hint="default" w:ascii="Arial" w:hAnsi="Arial" w:cs="Arial"/>
          <w:color w:val="1A1A1A"/>
          <w:sz w:val="24"/>
          <w:szCs w:val="24"/>
        </w:rPr>
        <w:t xml:space="preserve"> Formal appointment certificate issued; expert information included in the official reviewer database and publicly displayed on the competition website, enhancing industry visibility.</w:t>
      </w:r>
    </w:p>
    <w:p w14:paraId="49C9C71E">
      <w:pPr>
        <w:keepNext w:val="0"/>
        <w:keepLines w:val="0"/>
        <w:widowControl/>
        <w:numPr>
          <w:ilvl w:val="0"/>
          <w:numId w:val="6"/>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Professional Empowerment:</w:t>
      </w:r>
      <w:r>
        <w:rPr>
          <w:rFonts w:hint="default" w:ascii="Arial" w:hAnsi="Arial" w:cs="Arial"/>
          <w:color w:val="1A1A1A"/>
          <w:sz w:val="24"/>
          <w:szCs w:val="24"/>
        </w:rPr>
        <w:t xml:space="preserve"> Priority access to hydrogen industry summits, frontier technology forums, and project matchmaking events associated with the competition; in-depth engagement with global hydrogen experts, corporate executives, and investment institutions.</w:t>
      </w:r>
    </w:p>
    <w:p w14:paraId="2C1E0D06">
      <w:pPr>
        <w:keepNext w:val="0"/>
        <w:keepLines w:val="0"/>
        <w:widowControl/>
        <w:numPr>
          <w:ilvl w:val="0"/>
          <w:numId w:val="6"/>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Honours and Recognition:</w:t>
      </w:r>
      <w:r>
        <w:rPr>
          <w:rFonts w:hint="default" w:ascii="Arial" w:hAnsi="Arial" w:cs="Arial"/>
          <w:color w:val="1A1A1A"/>
          <w:sz w:val="24"/>
          <w:szCs w:val="24"/>
        </w:rPr>
        <w:t xml:space="preserve"> Final-round reviewers will receive the </w:t>
      </w:r>
      <w:r>
        <w:rPr>
          <w:rStyle w:val="15"/>
          <w:rFonts w:hint="default" w:ascii="Arial" w:hAnsi="Arial" w:cs="Arial"/>
          <w:b/>
          <w:bCs/>
          <w:color w:val="1A1A1A"/>
          <w:sz w:val="24"/>
          <w:szCs w:val="24"/>
        </w:rPr>
        <w:t>"</w:t>
      </w:r>
      <w:r>
        <w:rPr>
          <w:rStyle w:val="15"/>
          <w:rFonts w:hint="eastAsia" w:cs="Arial"/>
          <w:b/>
          <w:bCs/>
          <w:color w:val="1A1A1A"/>
          <w:sz w:val="24"/>
          <w:szCs w:val="24"/>
        </w:rPr>
        <w:t>IHIPC 2026</w:t>
      </w:r>
      <w:r>
        <w:rPr>
          <w:rStyle w:val="15"/>
          <w:rFonts w:hint="default" w:ascii="Arial" w:hAnsi="Arial" w:cs="Arial"/>
          <w:b/>
          <w:bCs/>
          <w:color w:val="1A1A1A"/>
          <w:sz w:val="24"/>
          <w:szCs w:val="24"/>
        </w:rPr>
        <w:t xml:space="preserve"> Outstanding Reviewer"</w:t>
      </w:r>
      <w:r>
        <w:rPr>
          <w:rFonts w:hint="default" w:ascii="Arial" w:hAnsi="Arial" w:cs="Arial"/>
          <w:color w:val="1A1A1A"/>
          <w:sz w:val="24"/>
          <w:szCs w:val="24"/>
        </w:rPr>
        <w:t xml:space="preserve"> honorary certificate; outstanding review opinions will be incorporated into the official competition review report with named attribution.</w:t>
      </w:r>
    </w:p>
    <w:p w14:paraId="00E12922">
      <w:pPr>
        <w:keepNext w:val="0"/>
        <w:keepLines w:val="0"/>
        <w:widowControl/>
        <w:numPr>
          <w:ilvl w:val="0"/>
          <w:numId w:val="6"/>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Remuneration:</w:t>
      </w:r>
      <w:r>
        <w:rPr>
          <w:rFonts w:hint="default" w:ascii="Arial" w:hAnsi="Arial" w:cs="Arial"/>
          <w:color w:val="1A1A1A"/>
          <w:sz w:val="24"/>
          <w:szCs w:val="24"/>
        </w:rPr>
        <w:t xml:space="preserve"> Reasonable reviewer remuneration will be provided in accordance with the competition's review schedule.</w:t>
      </w:r>
    </w:p>
    <w:p w14:paraId="5A2EA221">
      <w:pPr>
        <w:keepNext w:val="0"/>
        <w:keepLines w:val="0"/>
        <w:widowControl/>
        <w:numPr>
          <w:ilvl w:val="0"/>
          <w:numId w:val="6"/>
        </w:numPr>
        <w:suppressLineNumbers w:val="0"/>
        <w:spacing w:before="0" w:beforeAutospacing="1" w:after="60" w:afterAutospacing="0" w:line="18" w:lineRule="atLeast"/>
        <w:ind w:left="720" w:hanging="360"/>
        <w:rPr>
          <w:rFonts w:hint="default" w:ascii="Arial" w:hAnsi="Arial" w:cs="Arial"/>
          <w:sz w:val="24"/>
          <w:szCs w:val="24"/>
        </w:rPr>
      </w:pPr>
      <w:r>
        <w:rPr>
          <w:rStyle w:val="14"/>
          <w:rFonts w:hint="default" w:ascii="Arial" w:hAnsi="Arial" w:cs="Arial"/>
          <w:bCs/>
          <w:color w:val="1A1A1A"/>
          <w:sz w:val="24"/>
          <w:szCs w:val="24"/>
        </w:rPr>
        <w:t>Long-term Collaboration:</w:t>
      </w:r>
      <w:r>
        <w:rPr>
          <w:rFonts w:hint="default" w:ascii="Arial" w:hAnsi="Arial" w:cs="Arial"/>
          <w:color w:val="1A1A1A"/>
          <w:sz w:val="24"/>
          <w:szCs w:val="24"/>
        </w:rPr>
        <w:t xml:space="preserve"> Priority invitation to participate in future editions of the IHIPC, international hydrogen conferences, hydrogen industry project reviews, and standards development work.</w:t>
      </w:r>
    </w:p>
    <w:p w14:paraId="65696E59">
      <w:pPr>
        <w:keepNext w:val="0"/>
        <w:keepLines w:val="0"/>
        <w:widowControl/>
        <w:suppressLineNumbers w:val="0"/>
        <w:pBdr>
          <w:top w:val="none" w:color="auto" w:sz="0" w:space="0"/>
          <w:left w:val="single" w:color="1A3C6E" w:sz="36" w:space="7"/>
          <w:bottom w:val="none" w:color="auto" w:sz="0" w:space="0"/>
        </w:pBdr>
        <w:shd w:val="clear" w:fill="F0F4FA"/>
        <w:spacing w:before="280" w:beforeAutospacing="0" w:after="100" w:afterAutospacing="0" w:line="18" w:lineRule="atLeast"/>
        <w:jc w:val="left"/>
        <w:rPr>
          <w:rFonts w:hint="default" w:ascii="Arial" w:hAnsi="Arial" w:cs="Arial"/>
          <w:b/>
          <w:bCs/>
          <w:color w:val="1A1A1A"/>
          <w:sz w:val="28"/>
          <w:szCs w:val="28"/>
        </w:rPr>
      </w:pPr>
      <w:r>
        <w:rPr>
          <w:rFonts w:hint="default" w:ascii="Arial" w:hAnsi="Arial" w:eastAsia="宋体" w:cs="Arial"/>
          <w:b/>
          <w:bCs/>
          <w:color w:val="1A1A1A"/>
          <w:sz w:val="28"/>
          <w:szCs w:val="28"/>
          <w:shd w:val="clear" w:fill="F0F4FA"/>
        </w:rPr>
        <w:t>VII. Contact Information</w:t>
      </w:r>
    </w:p>
    <w:p w14:paraId="09483DD1">
      <w:pPr>
        <w:bidi w:val="0"/>
        <w:rPr>
          <w:rFonts w:hint="default"/>
        </w:rPr>
      </w:pPr>
      <w:r>
        <w:rPr>
          <w:rFonts w:hint="default"/>
        </w:rPr>
        <w:t>Official Website: www.hycentre.org.cn</w:t>
      </w:r>
      <w:r>
        <w:rPr>
          <w:rFonts w:hint="default"/>
        </w:rPr>
        <w:br w:type="textWrapping"/>
      </w:r>
      <w:r>
        <w:rPr>
          <w:rFonts w:hint="default"/>
        </w:rPr>
        <w:t>Application Email: IHEC@hycentre.org.cn</w:t>
      </w:r>
      <w:r>
        <w:rPr>
          <w:rFonts w:hint="default"/>
        </w:rPr>
        <w:br w:type="textWrapping"/>
      </w:r>
      <w:r>
        <w:rPr>
          <w:rFonts w:hint="default"/>
        </w:rPr>
        <w:t>Tel: +86 13811102797 (Ms. L</w:t>
      </w:r>
      <w:r>
        <w:rPr>
          <w:rFonts w:hint="eastAsia" w:eastAsia="宋体"/>
          <w:lang w:val="en-US" w:eastAsia="zh-CN"/>
        </w:rPr>
        <w:t>I</w:t>
      </w:r>
      <w:r>
        <w:rPr>
          <w:rFonts w:hint="default"/>
        </w:rPr>
        <w:t>)</w:t>
      </w:r>
    </w:p>
    <w:p w14:paraId="383BFF14">
      <w:pPr>
        <w:keepNext w:val="0"/>
        <w:keepLines w:val="0"/>
        <w:widowControl/>
        <w:suppressLineNumbers w:val="0"/>
        <w:pBdr>
          <w:top w:val="none" w:color="auto" w:sz="0" w:space="0"/>
          <w:left w:val="single" w:color="1A3C6E" w:sz="36" w:space="7"/>
          <w:bottom w:val="none" w:color="auto" w:sz="0" w:space="0"/>
        </w:pBdr>
        <w:shd w:val="clear" w:fill="F0F4FA"/>
        <w:spacing w:before="280" w:beforeAutospacing="0" w:after="100" w:afterAutospacing="0" w:line="18" w:lineRule="atLeast"/>
        <w:jc w:val="left"/>
        <w:rPr>
          <w:rFonts w:hint="default" w:ascii="Arial" w:hAnsi="Arial" w:cs="Arial"/>
          <w:b/>
          <w:bCs/>
          <w:color w:val="1A1A1A"/>
          <w:sz w:val="28"/>
          <w:szCs w:val="28"/>
        </w:rPr>
      </w:pPr>
      <w:r>
        <w:rPr>
          <w:rFonts w:hint="default" w:ascii="Arial" w:hAnsi="Arial" w:eastAsia="宋体" w:cs="Arial"/>
          <w:b/>
          <w:bCs/>
          <w:color w:val="1A1A1A"/>
          <w:sz w:val="28"/>
          <w:szCs w:val="28"/>
          <w:shd w:val="clear" w:fill="F0F4FA"/>
        </w:rPr>
        <w:t>VIII. Additional Notes</w:t>
      </w:r>
    </w:p>
    <w:p w14:paraId="130338B4">
      <w:pPr>
        <w:keepNext w:val="0"/>
        <w:keepLines w:val="0"/>
        <w:widowControl/>
        <w:numPr>
          <w:ilvl w:val="0"/>
          <w:numId w:val="7"/>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All application materials must be truthful and complete. Misrepresentation will result in immediate disqualification and inclusion on the industry dishonesty register.</w:t>
      </w:r>
    </w:p>
    <w:p w14:paraId="5CF74F4E">
      <w:pPr>
        <w:keepNext w:val="0"/>
        <w:keepLines w:val="0"/>
        <w:widowControl/>
        <w:numPr>
          <w:ilvl w:val="0"/>
          <w:numId w:val="7"/>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Any appointed reviewer who violates review discipline or discloses confidential information will have their reviewer qualification revoked, their appointment certificate recalled, and the cooperative relationship terminated.</w:t>
      </w:r>
    </w:p>
    <w:p w14:paraId="324CA87F">
      <w:pPr>
        <w:keepNext w:val="0"/>
        <w:keepLines w:val="0"/>
        <w:widowControl/>
        <w:numPr>
          <w:ilvl w:val="0"/>
          <w:numId w:val="7"/>
        </w:numPr>
        <w:suppressLineNumbers w:val="0"/>
        <w:spacing w:before="0" w:beforeAutospacing="1" w:after="60" w:afterAutospacing="0" w:line="18" w:lineRule="atLeast"/>
        <w:ind w:left="720" w:hanging="360"/>
        <w:rPr>
          <w:rFonts w:hint="default" w:ascii="Arial" w:hAnsi="Arial" w:cs="Arial"/>
          <w:sz w:val="24"/>
          <w:szCs w:val="24"/>
        </w:rPr>
      </w:pPr>
      <w:r>
        <w:rPr>
          <w:rFonts w:hint="default" w:ascii="Arial" w:hAnsi="Arial" w:cs="Arial"/>
          <w:color w:val="1A1A1A"/>
          <w:sz w:val="24"/>
          <w:szCs w:val="24"/>
        </w:rPr>
        <w:t xml:space="preserve">The final right of interpretation of this notice rests with the organiser of the </w:t>
      </w:r>
      <w:r>
        <w:rPr>
          <w:rFonts w:hint="eastAsia" w:eastAsia="宋体" w:cs="Arial"/>
          <w:color w:val="1A1A1A"/>
          <w:sz w:val="24"/>
          <w:szCs w:val="24"/>
          <w:lang w:eastAsia="zh-CN"/>
        </w:rPr>
        <w:t>IHIPC 2026</w:t>
      </w:r>
      <w:r>
        <w:rPr>
          <w:rFonts w:hint="default" w:ascii="Arial" w:hAnsi="Arial" w:cs="Arial"/>
          <w:color w:val="1A1A1A"/>
          <w:sz w:val="24"/>
          <w:szCs w:val="24"/>
        </w:rPr>
        <w:t>.</w:t>
      </w:r>
    </w:p>
    <w:p w14:paraId="4D2886D1">
      <w:pPr>
        <w:pStyle w:val="10"/>
        <w:keepNext w:val="0"/>
        <w:keepLines w:val="0"/>
        <w:widowControl/>
        <w:suppressLineNumbers w:val="0"/>
        <w:spacing w:before="400" w:beforeAutospacing="0" w:line="18" w:lineRule="atLeast"/>
        <w:jc w:val="right"/>
        <w:rPr>
          <w:rStyle w:val="14"/>
          <w:rFonts w:hint="default" w:ascii="Arial" w:hAnsi="Arial" w:cs="Arial"/>
          <w:bCs/>
          <w:color w:val="1A1A1A"/>
          <w:sz w:val="24"/>
          <w:szCs w:val="24"/>
        </w:rPr>
      </w:pPr>
    </w:p>
    <w:p w14:paraId="485622BF">
      <w:pPr>
        <w:pStyle w:val="10"/>
        <w:keepNext w:val="0"/>
        <w:keepLines w:val="0"/>
        <w:widowControl/>
        <w:suppressLineNumbers w:val="0"/>
        <w:spacing w:before="400" w:beforeAutospacing="0" w:line="18" w:lineRule="atLeast"/>
        <w:jc w:val="right"/>
        <w:rPr>
          <w:rStyle w:val="14"/>
          <w:rFonts w:hint="default" w:ascii="Arial" w:hAnsi="Arial" w:cs="Arial"/>
          <w:bCs/>
          <w:color w:val="1A1A1A"/>
          <w:sz w:val="24"/>
          <w:szCs w:val="24"/>
        </w:rPr>
      </w:pPr>
      <w:bookmarkStart w:id="0" w:name="_GoBack"/>
      <w:bookmarkEnd w:id="0"/>
    </w:p>
    <w:p w14:paraId="6CAC7D84">
      <w:pPr>
        <w:pStyle w:val="10"/>
        <w:keepNext w:val="0"/>
        <w:keepLines w:val="0"/>
        <w:widowControl/>
        <w:suppressLineNumbers w:val="0"/>
        <w:spacing w:before="400" w:beforeAutospacing="0" w:line="18" w:lineRule="atLeast"/>
        <w:jc w:val="right"/>
        <w:rPr>
          <w:rStyle w:val="14"/>
          <w:rFonts w:hint="default" w:ascii="Arial" w:hAnsi="Arial" w:cs="Arial"/>
          <w:bCs/>
          <w:color w:val="1A1A1A"/>
          <w:sz w:val="24"/>
          <w:szCs w:val="24"/>
        </w:rPr>
      </w:pPr>
    </w:p>
    <w:p w14:paraId="69571CC7">
      <w:pPr>
        <w:pStyle w:val="10"/>
        <w:keepNext w:val="0"/>
        <w:keepLines w:val="0"/>
        <w:widowControl/>
        <w:suppressLineNumbers w:val="0"/>
        <w:spacing w:before="400" w:beforeAutospacing="0" w:line="18" w:lineRule="atLeast"/>
        <w:jc w:val="right"/>
        <w:rPr>
          <w:rFonts w:hint="default" w:ascii="Arial" w:hAnsi="Arial" w:cs="Arial"/>
          <w:b/>
          <w:bCs w:val="0"/>
          <w:sz w:val="24"/>
          <w:szCs w:val="24"/>
        </w:rPr>
      </w:pPr>
      <w:r>
        <w:rPr>
          <w:rStyle w:val="14"/>
          <w:rFonts w:hint="default" w:ascii="Arial" w:hAnsi="Arial" w:cs="Arial"/>
          <w:b/>
          <w:bCs w:val="0"/>
          <w:color w:val="1A1A1A"/>
          <w:sz w:val="24"/>
          <w:szCs w:val="24"/>
        </w:rPr>
        <w:t>International Hydrogen Energy Centre (IHEC)</w:t>
      </w:r>
      <w:r>
        <w:rPr>
          <w:rFonts w:hint="default" w:ascii="Arial" w:hAnsi="Arial" w:cs="Arial"/>
          <w:b/>
          <w:bCs w:val="0"/>
          <w:color w:val="1A1A1A"/>
          <w:sz w:val="24"/>
          <w:szCs w:val="24"/>
        </w:rPr>
        <w:br w:type="textWrapping"/>
      </w:r>
      <w:r>
        <w:rPr>
          <w:rFonts w:hint="default" w:ascii="Arial" w:hAnsi="Arial" w:cs="Arial"/>
          <w:b/>
          <w:bCs w:val="0"/>
          <w:color w:val="1A1A1A"/>
          <w:sz w:val="24"/>
          <w:szCs w:val="24"/>
        </w:rPr>
        <w:t>May 2026</w:t>
      </w:r>
    </w:p>
    <w:p w14:paraId="3BC8467B">
      <w:pPr>
        <w:rPr>
          <w:rFonts w:hint="default" w:ascii="Arial" w:hAnsi="Arial" w:cs="Arial"/>
          <w:sz w:val="24"/>
          <w:szCs w:val="24"/>
          <w:lang w:eastAsia="zh-CN"/>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0309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677AD5">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677AD5">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C1EE5">
    <w:pPr>
      <w:keepNext w:val="0"/>
      <w:keepLines w:val="0"/>
      <w:pageBreakBefore w:val="0"/>
      <w:widowControl w:val="0"/>
      <w:pBdr>
        <w:top w:val="none" w:color="auto" w:sz="0" w:space="1"/>
        <w:left w:val="none" w:color="auto" w:sz="0" w:space="4"/>
        <w:bottom w:val="single" w:color="auto" w:sz="4" w:space="1"/>
        <w:right w:val="none" w:color="auto" w:sz="0" w:space="4"/>
      </w:pBdr>
      <w:kinsoku/>
      <w:wordWrap/>
      <w:overflowPunct/>
      <w:topLinePunct w:val="0"/>
      <w:bidi w:val="0"/>
      <w:adjustRightInd/>
      <w:snapToGrid w:val="0"/>
      <w:spacing w:after="0" w:afterLines="0" w:line="280" w:lineRule="atLeast"/>
      <w:ind w:firstLine="0" w:firstLineChars="0"/>
      <w:jc w:val="center"/>
      <w:textAlignment w:val="auto"/>
    </w:pPr>
    <w:r>
      <w:rPr>
        <w:rFonts w:hint="eastAsia" w:ascii="宋体" w:hAnsi="宋体" w:eastAsia="宋体" w:cs="宋体"/>
        <w:b/>
        <w:bCs/>
        <w:kern w:val="2"/>
        <w:sz w:val="72"/>
        <w:szCs w:val="72"/>
        <w:lang w:val="en-US" w:eastAsia="zh-CN" w:bidi="ar-SA"/>
      </w:rPr>
      <w:drawing>
        <wp:anchor distT="0" distB="0" distL="114300" distR="114300" simplePos="0" relativeHeight="251659264" behindDoc="0" locked="0" layoutInCell="1" allowOverlap="1">
          <wp:simplePos x="0" y="0"/>
          <wp:positionH relativeFrom="column">
            <wp:posOffset>2266315</wp:posOffset>
          </wp:positionH>
          <wp:positionV relativeFrom="paragraph">
            <wp:posOffset>-412750</wp:posOffset>
          </wp:positionV>
          <wp:extent cx="781685" cy="573405"/>
          <wp:effectExtent l="0" t="0" r="0" b="0"/>
          <wp:wrapNone/>
          <wp:docPr id="4" name="图片 4" descr="国际氢能中心logo蓝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国际氢能中心logo蓝色PNG"/>
                  <pic:cNvPicPr>
                    <a:picLocks noChangeAspect="1"/>
                  </pic:cNvPicPr>
                </pic:nvPicPr>
                <pic:blipFill>
                  <a:blip r:embed="rId1"/>
                  <a:srcRect l="21276" t="9220" r="27651" b="25555"/>
                  <a:stretch>
                    <a:fillRect/>
                  </a:stretch>
                </pic:blipFill>
                <pic:spPr>
                  <a:xfrm>
                    <a:off x="0" y="0"/>
                    <a:ext cx="781685" cy="573405"/>
                  </a:xfrm>
                  <a:prstGeom prst="rect">
                    <a:avLst/>
                  </a:prstGeom>
                </pic:spPr>
              </pic:pic>
            </a:graphicData>
          </a:graphic>
        </wp:anchor>
      </w:drawing>
    </w:r>
    <w:r>
      <w:rPr>
        <w:rFonts w:hint="eastAsia" w:eastAsia="仿宋" w:cs="仿宋" w:asciiTheme="majorAscii" w:hAnsiTheme="majorAscii"/>
        <w:b/>
        <w:bCs/>
        <w:color w:val="auto"/>
        <w:kern w:val="2"/>
        <w:sz w:val="32"/>
        <w:szCs w:val="32"/>
        <w:lang w:val="en-US" w:eastAsia="zh-CN" w:bidi="ar-SA"/>
      </w:rPr>
      <w:t>International Hydrogen Energy Centre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9BDA1"/>
    <w:multiLevelType w:val="multilevel"/>
    <w:tmpl w:val="BAA9BDA1"/>
    <w:lvl w:ilvl="0" w:tentative="0">
      <w:start w:val="1"/>
      <w:numFmt w:val="decimal"/>
      <w:lvlText w:val="%1."/>
      <w:lvlJc w:val="left"/>
      <w:pPr>
        <w:tabs>
          <w:tab w:val="left" w:pos="720"/>
        </w:tabs>
        <w:ind w:left="720" w:hanging="360"/>
      </w:pPr>
      <w:rPr>
        <w:rFonts w:hint="default"/>
        <w:b/>
        <w:bCs/>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D91AA349"/>
    <w:multiLevelType w:val="multilevel"/>
    <w:tmpl w:val="D91AA349"/>
    <w:lvl w:ilvl="0" w:tentative="0">
      <w:start w:val="1"/>
      <w:numFmt w:val="decimal"/>
      <w:lvlText w:val="%1."/>
      <w:lvlJc w:val="left"/>
      <w:pPr>
        <w:tabs>
          <w:tab w:val="left" w:pos="720"/>
        </w:tabs>
        <w:ind w:left="720" w:hanging="360"/>
      </w:pPr>
      <w:rPr>
        <w:rFonts w:hint="default"/>
        <w:b/>
        <w:bCs/>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E888BA80"/>
    <w:multiLevelType w:val="multilevel"/>
    <w:tmpl w:val="E888BA8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30D89833"/>
    <w:multiLevelType w:val="multilevel"/>
    <w:tmpl w:val="30D8983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52C869B8"/>
    <w:multiLevelType w:val="multilevel"/>
    <w:tmpl w:val="52C869B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57ACADDF"/>
    <w:multiLevelType w:val="multilevel"/>
    <w:tmpl w:val="57ACADD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70F8A8BC"/>
    <w:multiLevelType w:val="multilevel"/>
    <w:tmpl w:val="70F8A8B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5"/>
  </w:num>
  <w:num w:numId="2">
    <w:abstractNumId w:val="6"/>
  </w:num>
  <w:num w:numId="3">
    <w:abstractNumId w:val="3"/>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0MjllZWJjYzc3YjNjMjNkMzlhMmU3ODdkN2E1Y2YifQ=="/>
  </w:docVars>
  <w:rsids>
    <w:rsidRoot w:val="45454358"/>
    <w:rsid w:val="000C5779"/>
    <w:rsid w:val="00281620"/>
    <w:rsid w:val="004907A6"/>
    <w:rsid w:val="00776803"/>
    <w:rsid w:val="00CF0120"/>
    <w:rsid w:val="00D65FD6"/>
    <w:rsid w:val="07AC2FC9"/>
    <w:rsid w:val="08892439"/>
    <w:rsid w:val="17514A69"/>
    <w:rsid w:val="22D94639"/>
    <w:rsid w:val="23152DEF"/>
    <w:rsid w:val="30690579"/>
    <w:rsid w:val="318651D0"/>
    <w:rsid w:val="33985737"/>
    <w:rsid w:val="34E72A39"/>
    <w:rsid w:val="3BE91D11"/>
    <w:rsid w:val="3C1C1D1E"/>
    <w:rsid w:val="3EDD1579"/>
    <w:rsid w:val="44217638"/>
    <w:rsid w:val="45454358"/>
    <w:rsid w:val="46345258"/>
    <w:rsid w:val="494469CB"/>
    <w:rsid w:val="49885819"/>
    <w:rsid w:val="4A80204E"/>
    <w:rsid w:val="50FF73C5"/>
    <w:rsid w:val="5C4363FF"/>
    <w:rsid w:val="5D926135"/>
    <w:rsid w:val="61836C08"/>
    <w:rsid w:val="65B221E6"/>
    <w:rsid w:val="68AA7F3D"/>
    <w:rsid w:val="6D362F49"/>
    <w:rsid w:val="769B62DC"/>
    <w:rsid w:val="79AE597E"/>
    <w:rsid w:val="7D7C0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Lines="0" w:beforeAutospacing="0" w:after="0" w:afterLines="50" w:afterAutospacing="0" w:line="300" w:lineRule="auto"/>
      <w:ind w:left="0" w:leftChars="0" w:right="0" w:rightChars="0"/>
      <w:jc w:val="left"/>
      <w:textAlignment w:val="auto"/>
      <w:outlineLvl w:val="1"/>
    </w:pPr>
    <w:rPr>
      <w:rFonts w:ascii="Arial" w:hAnsi="Arial" w:eastAsia="Tahoma" w:cs="Arial"/>
      <w:color w:val="1A1A1A"/>
      <w:kern w:val="0"/>
      <w:sz w:val="24"/>
      <w:szCs w:val="24"/>
      <w:shd w:val="clear" w:fill="FFFFFF"/>
      <w:lang w:val="en-US" w:eastAsia="zh-CN" w:bidi="ar"/>
    </w:rPr>
  </w:style>
  <w:style w:type="paragraph" w:styleId="2">
    <w:name w:val="heading 1"/>
    <w:basedOn w:val="1"/>
    <w:next w:val="1"/>
    <w:qFormat/>
    <w:uiPriority w:val="0"/>
    <w:pPr>
      <w:widowControl w:val="0"/>
      <w:spacing w:before="0" w:beforeLines="0" w:after="0" w:afterLines="0"/>
      <w:jc w:val="center"/>
      <w:outlineLvl w:val="0"/>
    </w:pPr>
    <w:rPr>
      <w:rFonts w:ascii="Arial" w:hAnsi="Arial" w:eastAsia="宋体" w:cs="Arial"/>
      <w:b/>
      <w:bCs/>
      <w:kern w:val="44"/>
      <w:sz w:val="32"/>
      <w:szCs w:val="32"/>
    </w:rPr>
  </w:style>
  <w:style w:type="paragraph" w:styleId="3">
    <w:name w:val="heading 2"/>
    <w:basedOn w:val="1"/>
    <w:next w:val="1"/>
    <w:unhideWhenUsed/>
    <w:qFormat/>
    <w:uiPriority w:val="0"/>
    <w:pPr>
      <w:spacing w:line="280" w:lineRule="atLeast"/>
    </w:pPr>
    <w:rPr>
      <w:b/>
      <w:bCs/>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uiPriority w:val="0"/>
    <w:pPr>
      <w:spacing w:beforeAutospacing="1" w:afterAutospacing="1"/>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rFonts w:ascii="Arial" w:hAnsi="Arial" w:cs="Arial" w:eastAsiaTheme="minorEastAsia"/>
      <w:bCs/>
      <w:kern w:val="2"/>
      <w:sz w:val="22"/>
      <w:szCs w:val="22"/>
      <w:lang w:val="en-US" w:eastAsia="zh-CN" w:bidi="ar-SA"/>
    </w:rPr>
  </w:style>
  <w:style w:type="character" w:styleId="15">
    <w:name w:val="Emphasis"/>
    <w:basedOn w:val="13"/>
    <w:qFormat/>
    <w:uiPriority w:val="0"/>
    <w:rPr>
      <w:rFonts w:ascii="Arial" w:hAnsi="Arial" w:cs="Arial" w:eastAsiaTheme="minorEastAsia"/>
      <w:b/>
      <w:bCs/>
      <w:iCs/>
      <w:sz w:val="22"/>
      <w:szCs w:val="22"/>
      <w:lang w:val="en-US" w:eastAsia="zh-CN" w:bidi="ar"/>
    </w:rPr>
  </w:style>
  <w:style w:type="character" w:styleId="16">
    <w:name w:val="Hyperlink"/>
    <w:basedOn w:val="13"/>
    <w:uiPriority w:val="0"/>
    <w:rPr>
      <w:color w:val="0000FF"/>
      <w:u w:val="single"/>
    </w:rPr>
  </w:style>
  <w:style w:type="character" w:customStyle="1" w:styleId="17">
    <w:name w:val="note1"/>
    <w:basedOn w:val="13"/>
    <w:uiPriority w:val="0"/>
    <w:rPr>
      <w:color w:val="666666"/>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1164</Words>
  <Characters>7851</Characters>
  <Lines>10</Lines>
  <Paragraphs>2</Paragraphs>
  <TotalTime>7</TotalTime>
  <ScaleCrop>false</ScaleCrop>
  <LinksUpToDate>false</LinksUpToDate>
  <CharactersWithSpaces>8944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2024-05-30T01:11:00Z</dcterms:created>
  <dc:creator>Eleven</dc:creator>
  <cp:lastModifiedBy>Eleven</cp:lastModifiedBy>
  <dcterms:modified xsi:type="dcterms:W3CDTF">2026-05-28T09:02:21Z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1DCAAEFAC27940EF86007C079042B514_13</vt:lpwstr>
  </property>
  <property fmtid="{D5CDD505-2E9C-101B-9397-08002B2CF9AE}" pid="4" name="KSOTemplateDocerSaveRecord">
    <vt:lpwstr>eyJoZGlkIjoiZmQ0MjllZWJjYzc3YjNjMjNkMzlhMmU3ODdkN2E1Y2YiLCJ1c2VySWQiOiIyODM5MDMzMzMifQ==</vt:lpwstr>
  </property>
</Properties>
</file>